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center"/>
        <w:rPr>
          <w:rFonts w:ascii="微软雅黑" w:hAnsi="微软雅黑" w:eastAsia="微软雅黑" w:cs="微软雅黑"/>
          <w:b/>
          <w:bCs/>
          <w:i w:val="0"/>
          <w:iCs w:val="0"/>
          <w:caps w:val="0"/>
          <w:color w:val="333333"/>
          <w:spacing w:val="0"/>
          <w:sz w:val="48"/>
          <w:szCs w:val="48"/>
        </w:rPr>
      </w:pPr>
      <w:r>
        <w:rPr>
          <w:rFonts w:hint="eastAsia" w:ascii="微软雅黑" w:hAnsi="微软雅黑" w:eastAsia="微软雅黑" w:cs="微软雅黑"/>
          <w:b/>
          <w:bCs/>
          <w:i w:val="0"/>
          <w:iCs w:val="0"/>
          <w:caps w:val="0"/>
          <w:color w:val="333333"/>
          <w:spacing w:val="0"/>
          <w:sz w:val="48"/>
          <w:szCs w:val="48"/>
          <w:shd w:val="clear" w:fill="FFFFFF"/>
        </w:rPr>
        <w:t>滁州市定远县永康镇202</w:t>
      </w:r>
      <w:r>
        <w:rPr>
          <w:rFonts w:hint="eastAsia" w:ascii="微软雅黑" w:hAnsi="微软雅黑" w:eastAsia="微软雅黑" w:cs="微软雅黑"/>
          <w:b/>
          <w:bCs/>
          <w:i w:val="0"/>
          <w:iCs w:val="0"/>
          <w:caps w:val="0"/>
          <w:color w:val="333333"/>
          <w:spacing w:val="0"/>
          <w:sz w:val="48"/>
          <w:szCs w:val="48"/>
          <w:shd w:val="clear" w:fill="FFFFFF"/>
          <w:lang w:val="en-US" w:eastAsia="zh-CN"/>
        </w:rPr>
        <w:t>3</w:t>
      </w:r>
      <w:r>
        <w:rPr>
          <w:rFonts w:hint="eastAsia" w:ascii="微软雅黑" w:hAnsi="微软雅黑" w:eastAsia="微软雅黑" w:cs="微软雅黑"/>
          <w:b/>
          <w:bCs/>
          <w:i w:val="0"/>
          <w:iCs w:val="0"/>
          <w:caps w:val="0"/>
          <w:color w:val="333333"/>
          <w:spacing w:val="0"/>
          <w:sz w:val="48"/>
          <w:szCs w:val="48"/>
          <w:shd w:val="clear" w:fill="FFFFFF"/>
        </w:rPr>
        <w:t>年政府信息公开工作年度报告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30"/>
        <w:jc w:val="both"/>
        <w:textAlignment w:val="auto"/>
        <w:rPr>
          <w:rFonts w:ascii="微软雅黑" w:hAnsi="微软雅黑" w:eastAsia="微软雅黑" w:cs="微软雅黑"/>
          <w:i w:val="0"/>
          <w:iCs w:val="0"/>
          <w:caps w:val="0"/>
          <w:color w:val="333333"/>
          <w:spacing w:val="0"/>
          <w:sz w:val="24"/>
          <w:szCs w:val="24"/>
        </w:rPr>
      </w:pPr>
      <w:r>
        <w:rPr>
          <w:rFonts w:ascii="仿宋_GB2312" w:hAnsi="微软雅黑" w:eastAsia="仿宋_GB2312" w:cs="仿宋_GB2312"/>
          <w:i w:val="0"/>
          <w:iCs w:val="0"/>
          <w:caps w:val="0"/>
          <w:color w:val="333333"/>
          <w:spacing w:val="0"/>
          <w:sz w:val="32"/>
          <w:szCs w:val="32"/>
          <w:shd w:val="clear" w:fill="FFFFFF"/>
        </w:rPr>
        <w:t>本报告</w:t>
      </w:r>
      <w:r>
        <w:rPr>
          <w:rFonts w:hint="eastAsia" w:ascii="仿宋_GB2312" w:hAnsi="微软雅黑" w:eastAsia="仿宋_GB2312" w:cs="仿宋_GB2312"/>
          <w:i w:val="0"/>
          <w:iCs w:val="0"/>
          <w:caps w:val="0"/>
          <w:color w:val="333333"/>
          <w:spacing w:val="0"/>
          <w:sz w:val="32"/>
          <w:szCs w:val="32"/>
          <w:shd w:val="clear" w:fill="FFFFFF"/>
        </w:rPr>
        <w:t>根据《国务院办公厅政府信息与政务公开办公室关于印发〈中华人民共和国政府信息公开工作年度报告格式〉的通知》(国办公开办函〔2021〕30号)，并结合我镇政府信息公开工作有关统计数据撰写。报告主要包括：202</w:t>
      </w:r>
      <w:r>
        <w:rPr>
          <w:rFonts w:hint="eastAsia" w:ascii="仿宋_GB2312" w:hAnsi="微软雅黑" w:eastAsia="仿宋_GB2312" w:cs="仿宋_GB2312"/>
          <w:i w:val="0"/>
          <w:iCs w:val="0"/>
          <w:caps w:val="0"/>
          <w:color w:val="333333"/>
          <w:spacing w:val="0"/>
          <w:sz w:val="32"/>
          <w:szCs w:val="32"/>
          <w:shd w:val="clear" w:fill="FFFFFF"/>
          <w:lang w:val="en-US" w:eastAsia="zh-CN"/>
        </w:rPr>
        <w:t>3</w:t>
      </w:r>
      <w:r>
        <w:rPr>
          <w:rFonts w:hint="eastAsia" w:ascii="仿宋_GB2312" w:hAnsi="微软雅黑" w:eastAsia="仿宋_GB2312" w:cs="仿宋_GB2312"/>
          <w:i w:val="0"/>
          <w:iCs w:val="0"/>
          <w:caps w:val="0"/>
          <w:color w:val="333333"/>
          <w:spacing w:val="0"/>
          <w:sz w:val="32"/>
          <w:szCs w:val="32"/>
          <w:shd w:val="clear" w:fill="FFFFFF"/>
        </w:rPr>
        <w:t>年度政府信息公开工作总体情况、主动公开政府信息情况、收到和处理政府信息公开申请情况、因政府信息公开工作被申请行政复议和提起行政诉讼情况、政府信息公开工作中存在的主要问题及其他需要报告的事项等部分组成。本报告中所列数据的统计期限为202</w:t>
      </w:r>
      <w:r>
        <w:rPr>
          <w:rFonts w:hint="eastAsia" w:ascii="仿宋_GB2312" w:hAnsi="微软雅黑" w:eastAsia="仿宋_GB2312" w:cs="仿宋_GB2312"/>
          <w:i w:val="0"/>
          <w:iCs w:val="0"/>
          <w:caps w:val="0"/>
          <w:color w:val="333333"/>
          <w:spacing w:val="0"/>
          <w:sz w:val="32"/>
          <w:szCs w:val="32"/>
          <w:shd w:val="clear" w:fill="FFFFFF"/>
          <w:lang w:val="en-US" w:eastAsia="zh-CN"/>
        </w:rPr>
        <w:t>3</w:t>
      </w:r>
      <w:r>
        <w:rPr>
          <w:rFonts w:hint="eastAsia" w:ascii="仿宋_GB2312" w:hAnsi="微软雅黑" w:eastAsia="仿宋_GB2312" w:cs="仿宋_GB2312"/>
          <w:i w:val="0"/>
          <w:iCs w:val="0"/>
          <w:caps w:val="0"/>
          <w:color w:val="333333"/>
          <w:spacing w:val="0"/>
          <w:sz w:val="32"/>
          <w:szCs w:val="32"/>
          <w:shd w:val="clear" w:fill="FFFFFF"/>
        </w:rPr>
        <w:t>年1月1日起至202</w:t>
      </w:r>
      <w:r>
        <w:rPr>
          <w:rFonts w:hint="eastAsia" w:ascii="仿宋_GB2312" w:hAnsi="微软雅黑" w:eastAsia="仿宋_GB2312" w:cs="仿宋_GB2312"/>
          <w:i w:val="0"/>
          <w:iCs w:val="0"/>
          <w:caps w:val="0"/>
          <w:color w:val="333333"/>
          <w:spacing w:val="0"/>
          <w:sz w:val="32"/>
          <w:szCs w:val="32"/>
          <w:shd w:val="clear" w:fill="FFFFFF"/>
          <w:lang w:val="en-US" w:eastAsia="zh-CN"/>
        </w:rPr>
        <w:t>3</w:t>
      </w:r>
      <w:r>
        <w:rPr>
          <w:rFonts w:hint="eastAsia" w:ascii="仿宋_GB2312" w:hAnsi="微软雅黑" w:eastAsia="仿宋_GB2312" w:cs="仿宋_GB2312"/>
          <w:i w:val="0"/>
          <w:iCs w:val="0"/>
          <w:caps w:val="0"/>
          <w:color w:val="333333"/>
          <w:spacing w:val="0"/>
          <w:sz w:val="32"/>
          <w:szCs w:val="32"/>
          <w:shd w:val="clear" w:fill="FFFFFF"/>
        </w:rPr>
        <w:t>年12月31日止。本报告的电子版可在定远县人民政府网站（网址：https://www.dingyuan.gov.cn/）——政府信息公开年报栏目中下载。如对本报告有任何疑问，请与永康镇</w:t>
      </w:r>
      <w:r>
        <w:rPr>
          <w:rFonts w:hint="eastAsia" w:ascii="仿宋_GB2312" w:hAnsi="微软雅黑" w:eastAsia="仿宋_GB2312" w:cs="仿宋_GB2312"/>
          <w:i w:val="0"/>
          <w:iCs w:val="0"/>
          <w:caps w:val="0"/>
          <w:color w:val="333333"/>
          <w:spacing w:val="0"/>
          <w:sz w:val="32"/>
          <w:szCs w:val="32"/>
          <w:shd w:val="clear" w:fill="FFFFFF"/>
          <w:lang w:eastAsia="zh-CN"/>
        </w:rPr>
        <w:t>政务公开</w:t>
      </w:r>
      <w:r>
        <w:rPr>
          <w:rFonts w:hint="eastAsia" w:ascii="仿宋_GB2312" w:hAnsi="微软雅黑" w:eastAsia="仿宋_GB2312" w:cs="仿宋_GB2312"/>
          <w:i w:val="0"/>
          <w:iCs w:val="0"/>
          <w:caps w:val="0"/>
          <w:color w:val="333333"/>
          <w:spacing w:val="0"/>
          <w:sz w:val="32"/>
          <w:szCs w:val="32"/>
          <w:shd w:val="clear" w:fill="FFFFFF"/>
        </w:rPr>
        <w:t>办公室联系（</w:t>
      </w:r>
      <w:r>
        <w:rPr>
          <w:rFonts w:hint="eastAsia" w:ascii="仿宋_GB2312" w:hAnsi="微软雅黑" w:eastAsia="仿宋_GB2312" w:cs="仿宋_GB2312"/>
          <w:i w:val="0"/>
          <w:iCs w:val="0"/>
          <w:caps w:val="0"/>
          <w:color w:val="000000"/>
          <w:spacing w:val="0"/>
          <w:sz w:val="32"/>
          <w:szCs w:val="32"/>
          <w:shd w:val="clear" w:fill="FFFFFF"/>
        </w:rPr>
        <w:t>定远县永康镇中心街24</w:t>
      </w:r>
      <w:r>
        <w:rPr>
          <w:rFonts w:hint="eastAsia" w:ascii="仿宋_GB2312" w:hAnsi="微软雅黑" w:eastAsia="仿宋_GB2312" w:cs="仿宋_GB2312"/>
          <w:i w:val="0"/>
          <w:iCs w:val="0"/>
          <w:caps w:val="0"/>
          <w:color w:val="333333"/>
          <w:spacing w:val="0"/>
          <w:sz w:val="32"/>
          <w:szCs w:val="32"/>
          <w:shd w:val="clear" w:fill="FFFFFF"/>
        </w:rPr>
        <w:t>号，电话：0550-4404010，邮编：233200）。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30"/>
        <w:jc w:val="both"/>
        <w:textAlignment w:val="auto"/>
        <w:rPr>
          <w:rFonts w:hint="eastAsia" w:ascii="微软雅黑" w:hAnsi="微软雅黑" w:eastAsia="微软雅黑" w:cs="微软雅黑"/>
          <w:i w:val="0"/>
          <w:iCs w:val="0"/>
          <w:caps w:val="0"/>
          <w:color w:val="333333"/>
          <w:spacing w:val="0"/>
          <w:sz w:val="24"/>
          <w:szCs w:val="24"/>
        </w:rPr>
      </w:pPr>
      <w:r>
        <w:rPr>
          <w:rFonts w:ascii="黑体" w:hAnsi="宋体" w:eastAsia="黑体" w:cs="黑体"/>
          <w:i w:val="0"/>
          <w:iCs w:val="0"/>
          <w:caps w:val="0"/>
          <w:color w:val="333333"/>
          <w:spacing w:val="0"/>
          <w:sz w:val="32"/>
          <w:szCs w:val="32"/>
          <w:shd w:val="clear" w:fill="FFFFFF"/>
        </w:rPr>
        <w:t>一、</w:t>
      </w:r>
      <w:r>
        <w:rPr>
          <w:rFonts w:hint="eastAsia" w:ascii="黑体" w:hAnsi="宋体" w:eastAsia="黑体" w:cs="黑体"/>
          <w:i w:val="0"/>
          <w:iCs w:val="0"/>
          <w:caps w:val="0"/>
          <w:color w:val="333333"/>
          <w:spacing w:val="0"/>
          <w:sz w:val="32"/>
          <w:szCs w:val="32"/>
          <w:shd w:val="clear" w:fill="FFFFFF"/>
        </w:rPr>
        <w:t>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2"/>
        <w:jc w:val="both"/>
        <w:textAlignment w:val="auto"/>
        <w:rPr>
          <w:rFonts w:hint="eastAsia" w:ascii="微软雅黑" w:hAnsi="微软雅黑" w:eastAsia="微软雅黑" w:cs="微软雅黑"/>
          <w:i w:val="0"/>
          <w:iCs w:val="0"/>
          <w:caps w:val="0"/>
          <w:color w:val="333333"/>
          <w:spacing w:val="0"/>
          <w:sz w:val="24"/>
          <w:szCs w:val="24"/>
        </w:rPr>
      </w:pPr>
      <w:r>
        <w:rPr>
          <w:rFonts w:ascii="楷体_GB2312" w:hAnsi="微软雅黑" w:eastAsia="楷体_GB2312" w:cs="楷体_GB2312"/>
          <w:b/>
          <w:bCs/>
          <w:i w:val="0"/>
          <w:iCs w:val="0"/>
          <w:caps w:val="0"/>
          <w:color w:val="333333"/>
          <w:spacing w:val="0"/>
          <w:sz w:val="32"/>
          <w:szCs w:val="32"/>
          <w:shd w:val="clear" w:fill="FFFFFF"/>
        </w:rPr>
        <w:t>（一）主动公开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2"/>
        <w:jc w:val="both"/>
        <w:textAlignment w:val="auto"/>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2"/>
          <w:szCs w:val="32"/>
          <w:shd w:val="clear" w:fill="FFFFFF"/>
        </w:rPr>
        <w:t>202</w:t>
      </w:r>
      <w:r>
        <w:rPr>
          <w:rFonts w:hint="eastAsia" w:ascii="仿宋_GB2312" w:hAnsi="微软雅黑" w:eastAsia="仿宋_GB2312" w:cs="仿宋_GB2312"/>
          <w:i w:val="0"/>
          <w:iCs w:val="0"/>
          <w:caps w:val="0"/>
          <w:color w:val="333333"/>
          <w:spacing w:val="0"/>
          <w:sz w:val="32"/>
          <w:szCs w:val="32"/>
          <w:shd w:val="clear" w:fill="FFFFFF"/>
          <w:lang w:val="en-US" w:eastAsia="zh-CN"/>
        </w:rPr>
        <w:t>3</w:t>
      </w:r>
      <w:r>
        <w:rPr>
          <w:rFonts w:hint="eastAsia" w:ascii="仿宋_GB2312" w:hAnsi="微软雅黑" w:eastAsia="仿宋_GB2312" w:cs="仿宋_GB2312"/>
          <w:i w:val="0"/>
          <w:iCs w:val="0"/>
          <w:caps w:val="0"/>
          <w:color w:val="333333"/>
          <w:spacing w:val="0"/>
          <w:sz w:val="32"/>
          <w:szCs w:val="32"/>
          <w:shd w:val="clear" w:fill="FFFFFF"/>
        </w:rPr>
        <w:t>年，永康镇在县政务公开办的统一部署和指导下，主动公开政府信息</w:t>
      </w:r>
      <w:r>
        <w:rPr>
          <w:rFonts w:hint="eastAsia" w:ascii="仿宋_GB2312" w:hAnsi="微软雅黑" w:eastAsia="仿宋_GB2312" w:cs="仿宋_GB2312"/>
          <w:i w:val="0"/>
          <w:iCs w:val="0"/>
          <w:caps w:val="0"/>
          <w:color w:val="333333"/>
          <w:spacing w:val="0"/>
          <w:sz w:val="32"/>
          <w:szCs w:val="32"/>
          <w:shd w:val="clear" w:fill="FFFFFF"/>
          <w:lang w:val="en-US" w:eastAsia="zh-CN"/>
        </w:rPr>
        <w:t>1232</w:t>
      </w:r>
      <w:r>
        <w:rPr>
          <w:rFonts w:hint="eastAsia" w:ascii="仿宋_GB2312" w:hAnsi="微软雅黑" w:eastAsia="仿宋_GB2312" w:cs="仿宋_GB2312"/>
          <w:i w:val="0"/>
          <w:iCs w:val="0"/>
          <w:caps w:val="0"/>
          <w:color w:val="333333"/>
          <w:spacing w:val="0"/>
          <w:sz w:val="32"/>
          <w:szCs w:val="32"/>
          <w:shd w:val="clear" w:fill="FFFFFF"/>
        </w:rPr>
        <w:t>条，</w:t>
      </w:r>
      <w:r>
        <w:rPr>
          <w:rFonts w:hint="eastAsia" w:ascii="仿宋_GB2312" w:hAnsi="微软雅黑" w:eastAsia="仿宋_GB2312" w:cs="仿宋_GB2312"/>
          <w:i w:val="0"/>
          <w:iCs w:val="0"/>
          <w:caps w:val="0"/>
          <w:color w:val="333333"/>
          <w:spacing w:val="0"/>
          <w:sz w:val="32"/>
          <w:szCs w:val="32"/>
          <w:shd w:val="clear" w:fill="FFFFFF"/>
          <w:lang w:eastAsia="zh-CN"/>
        </w:rPr>
        <w:t>其中“主动公开”信息发布</w:t>
      </w:r>
      <w:r>
        <w:rPr>
          <w:rFonts w:hint="eastAsia" w:ascii="仿宋_GB2312" w:hAnsi="微软雅黑" w:eastAsia="仿宋_GB2312" w:cs="仿宋_GB2312"/>
          <w:i w:val="0"/>
          <w:iCs w:val="0"/>
          <w:caps w:val="0"/>
          <w:color w:val="333333"/>
          <w:spacing w:val="0"/>
          <w:sz w:val="32"/>
          <w:szCs w:val="32"/>
          <w:shd w:val="clear" w:fill="FFFFFF"/>
          <w:lang w:val="en-US" w:eastAsia="zh-CN"/>
        </w:rPr>
        <w:t>788条</w:t>
      </w:r>
      <w:r>
        <w:rPr>
          <w:rFonts w:hint="eastAsia" w:ascii="仿宋_GB2312" w:hAnsi="微软雅黑" w:eastAsia="仿宋_GB2312" w:cs="仿宋_GB2312"/>
          <w:i w:val="0"/>
          <w:iCs w:val="0"/>
          <w:caps w:val="0"/>
          <w:color w:val="333333"/>
          <w:spacing w:val="0"/>
          <w:sz w:val="32"/>
          <w:szCs w:val="32"/>
          <w:shd w:val="clear" w:fill="FFFFFF"/>
        </w:rPr>
        <w:t>。“两化”专题信息发布</w:t>
      </w:r>
      <w:r>
        <w:rPr>
          <w:rFonts w:hint="eastAsia" w:ascii="仿宋_GB2312" w:hAnsi="微软雅黑" w:eastAsia="仿宋_GB2312" w:cs="仿宋_GB2312"/>
          <w:i w:val="0"/>
          <w:iCs w:val="0"/>
          <w:caps w:val="0"/>
          <w:color w:val="333333"/>
          <w:spacing w:val="0"/>
          <w:sz w:val="32"/>
          <w:szCs w:val="32"/>
          <w:shd w:val="clear" w:fill="FFFFFF"/>
          <w:lang w:val="en-US" w:eastAsia="zh-CN"/>
        </w:rPr>
        <w:t>465</w:t>
      </w:r>
      <w:r>
        <w:rPr>
          <w:rFonts w:hint="eastAsia" w:ascii="仿宋_GB2312" w:hAnsi="微软雅黑" w:eastAsia="仿宋_GB2312" w:cs="仿宋_GB2312"/>
          <w:i w:val="0"/>
          <w:iCs w:val="0"/>
          <w:caps w:val="0"/>
          <w:color w:val="333333"/>
          <w:spacing w:val="0"/>
          <w:sz w:val="32"/>
          <w:szCs w:val="32"/>
          <w:shd w:val="clear" w:fill="FFFFFF"/>
        </w:rPr>
        <w:t>条；依申请公开信息0条。及时向社会公布了我镇阶段性工作的进展和完成情况。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30"/>
        <w:jc w:val="both"/>
        <w:textAlignment w:val="auto"/>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b/>
          <w:bCs/>
          <w:i w:val="0"/>
          <w:iCs w:val="0"/>
          <w:caps w:val="0"/>
          <w:color w:val="333333"/>
          <w:spacing w:val="0"/>
          <w:sz w:val="32"/>
          <w:szCs w:val="32"/>
          <w:shd w:val="clear" w:fill="FFFFFF"/>
        </w:rPr>
        <w:t>（二）依申请公开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30"/>
        <w:jc w:val="both"/>
        <w:textAlignment w:val="auto"/>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2"/>
          <w:szCs w:val="32"/>
          <w:shd w:val="clear" w:fill="FFFFFF"/>
        </w:rPr>
        <w:t>202</w:t>
      </w:r>
      <w:r>
        <w:rPr>
          <w:rFonts w:hint="eastAsia" w:ascii="仿宋_GB2312" w:hAnsi="微软雅黑" w:eastAsia="仿宋_GB2312" w:cs="仿宋_GB2312"/>
          <w:i w:val="0"/>
          <w:iCs w:val="0"/>
          <w:caps w:val="0"/>
          <w:color w:val="333333"/>
          <w:spacing w:val="0"/>
          <w:sz w:val="32"/>
          <w:szCs w:val="32"/>
          <w:shd w:val="clear" w:fill="FFFFFF"/>
          <w:lang w:val="en-US" w:eastAsia="zh-CN"/>
        </w:rPr>
        <w:t>3</w:t>
      </w:r>
      <w:r>
        <w:rPr>
          <w:rFonts w:hint="eastAsia" w:ascii="仿宋_GB2312" w:hAnsi="微软雅黑" w:eastAsia="仿宋_GB2312" w:cs="仿宋_GB2312"/>
          <w:i w:val="0"/>
          <w:iCs w:val="0"/>
          <w:caps w:val="0"/>
          <w:color w:val="333333"/>
          <w:spacing w:val="0"/>
          <w:sz w:val="32"/>
          <w:szCs w:val="32"/>
          <w:shd w:val="clear" w:fill="FFFFFF"/>
        </w:rPr>
        <w:t>年收到政府信息公开申请0件。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30"/>
        <w:jc w:val="both"/>
        <w:textAlignment w:val="auto"/>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2"/>
          <w:szCs w:val="32"/>
          <w:shd w:val="clear" w:fill="FFFFFF"/>
        </w:rPr>
        <w:t>202</w:t>
      </w:r>
      <w:r>
        <w:rPr>
          <w:rFonts w:hint="eastAsia" w:ascii="仿宋_GB2312" w:hAnsi="微软雅黑" w:eastAsia="仿宋_GB2312" w:cs="仿宋_GB2312"/>
          <w:i w:val="0"/>
          <w:iCs w:val="0"/>
          <w:caps w:val="0"/>
          <w:color w:val="333333"/>
          <w:spacing w:val="0"/>
          <w:sz w:val="32"/>
          <w:szCs w:val="32"/>
          <w:shd w:val="clear" w:fill="FFFFFF"/>
          <w:lang w:val="en-US" w:eastAsia="zh-CN"/>
        </w:rPr>
        <w:t>3</w:t>
      </w:r>
      <w:r>
        <w:rPr>
          <w:rFonts w:hint="eastAsia" w:ascii="仿宋_GB2312" w:hAnsi="微软雅黑" w:eastAsia="仿宋_GB2312" w:cs="仿宋_GB2312"/>
          <w:i w:val="0"/>
          <w:iCs w:val="0"/>
          <w:caps w:val="0"/>
          <w:color w:val="333333"/>
          <w:spacing w:val="0"/>
          <w:sz w:val="32"/>
          <w:szCs w:val="32"/>
          <w:shd w:val="clear" w:fill="FFFFFF"/>
        </w:rPr>
        <w:t>年本单位政府信息公开行政复议、行政诉讼和投诉举报情况：无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2"/>
        <w:jc w:val="both"/>
        <w:textAlignment w:val="auto"/>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b/>
          <w:bCs/>
          <w:i w:val="0"/>
          <w:iCs w:val="0"/>
          <w:caps w:val="0"/>
          <w:color w:val="333333"/>
          <w:spacing w:val="0"/>
          <w:sz w:val="32"/>
          <w:szCs w:val="32"/>
          <w:shd w:val="clear" w:fill="FFFFFF"/>
        </w:rPr>
        <w:t>（三）政府信息管理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2"/>
        <w:jc w:val="both"/>
        <w:textAlignment w:val="auto"/>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2"/>
          <w:szCs w:val="32"/>
          <w:shd w:val="clear" w:fill="FFFFFF"/>
          <w:lang w:eastAsia="zh-CN"/>
        </w:rPr>
        <w:t>我镇</w:t>
      </w:r>
      <w:r>
        <w:rPr>
          <w:rFonts w:hint="eastAsia" w:ascii="仿宋_GB2312" w:hAnsi="微软雅黑" w:eastAsia="仿宋_GB2312" w:cs="仿宋_GB2312"/>
          <w:i w:val="0"/>
          <w:iCs w:val="0"/>
          <w:caps w:val="0"/>
          <w:color w:val="333333"/>
          <w:spacing w:val="0"/>
          <w:sz w:val="32"/>
          <w:szCs w:val="32"/>
          <w:shd w:val="clear" w:fill="FFFFFF"/>
        </w:rPr>
        <w:t>成立政府信息公开工作领导组，制定工作方案，明确工作责任、工作流程和工作要求，严格落实信息发布“三审”制。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2"/>
        <w:jc w:val="both"/>
        <w:textAlignment w:val="auto"/>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b/>
          <w:bCs/>
          <w:i w:val="0"/>
          <w:iCs w:val="0"/>
          <w:caps w:val="0"/>
          <w:color w:val="333333"/>
          <w:spacing w:val="0"/>
          <w:sz w:val="32"/>
          <w:szCs w:val="32"/>
          <w:shd w:val="clear" w:fill="FFFFFF"/>
        </w:rPr>
        <w:t>（四）政府信息公开平台建设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2"/>
        <w:jc w:val="both"/>
        <w:textAlignment w:val="auto"/>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进一步加强完善政务公开平台，进一步优化政府信息公开专栏设置，及时发布政府信息公开工作有关内容，规范“两化”专题建设，建立村（居）信息公开栏目。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2"/>
        <w:jc w:val="both"/>
        <w:textAlignment w:val="auto"/>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b/>
          <w:bCs/>
          <w:i w:val="0"/>
          <w:iCs w:val="0"/>
          <w:caps w:val="0"/>
          <w:color w:val="333333"/>
          <w:spacing w:val="0"/>
          <w:sz w:val="32"/>
          <w:szCs w:val="32"/>
          <w:shd w:val="clear" w:fill="FFFFFF"/>
        </w:rPr>
        <w:t>（五）监督保障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微软雅黑" w:eastAsia="仿宋_GB2312" w:cs="仿宋_GB2312"/>
          <w:i w:val="0"/>
          <w:iCs w:val="0"/>
          <w:caps w:val="0"/>
          <w:color w:val="333333"/>
          <w:spacing w:val="0"/>
          <w:kern w:val="0"/>
          <w:sz w:val="32"/>
          <w:szCs w:val="32"/>
          <w:shd w:val="clear" w:fill="FFFFFF"/>
          <w:lang w:val="en-US" w:eastAsia="zh-CN" w:bidi="ar"/>
        </w:rPr>
      </w:pPr>
      <w:r>
        <w:rPr>
          <w:rFonts w:hint="eastAsia" w:ascii="仿宋_GB2312" w:hAnsi="微软雅黑" w:eastAsia="仿宋_GB2312" w:cs="仿宋_GB2312"/>
          <w:i w:val="0"/>
          <w:iCs w:val="0"/>
          <w:caps w:val="0"/>
          <w:color w:val="333333"/>
          <w:spacing w:val="0"/>
          <w:sz w:val="32"/>
          <w:szCs w:val="32"/>
          <w:shd w:val="clear" w:fill="FFFFFF"/>
          <w:lang w:eastAsia="zh-CN"/>
        </w:rPr>
        <w:t>一是加强组织领导，实现部门联动，落实信息员报送制度。二是加强培训整改。强化业务培训，提升培训效果；及时对测评反馈进行整改。三</w:t>
      </w:r>
      <w:r>
        <w:rPr>
          <w:rFonts w:hint="eastAsia" w:ascii="仿宋_GB2312" w:hAnsi="微软雅黑" w:eastAsia="仿宋_GB2312" w:cs="仿宋_GB2312"/>
          <w:i w:val="0"/>
          <w:iCs w:val="0"/>
          <w:caps w:val="0"/>
          <w:color w:val="333333"/>
          <w:spacing w:val="0"/>
          <w:sz w:val="32"/>
          <w:szCs w:val="32"/>
          <w:shd w:val="clear" w:fill="FFFFFF"/>
        </w:rPr>
        <w:t>是严格</w:t>
      </w:r>
      <w:r>
        <w:rPr>
          <w:rFonts w:hint="eastAsia" w:ascii="仿宋_GB2312" w:hAnsi="微软雅黑" w:eastAsia="仿宋_GB2312" w:cs="仿宋_GB2312"/>
          <w:i w:val="0"/>
          <w:iCs w:val="0"/>
          <w:caps w:val="0"/>
          <w:color w:val="333333"/>
          <w:spacing w:val="0"/>
          <w:sz w:val="32"/>
          <w:szCs w:val="32"/>
          <w:shd w:val="clear" w:fill="FFFFFF"/>
          <w:lang w:eastAsia="zh-CN"/>
        </w:rPr>
        <w:t>执行</w:t>
      </w:r>
      <w:r>
        <w:rPr>
          <w:rFonts w:hint="eastAsia" w:ascii="仿宋_GB2312" w:hAnsi="微软雅黑" w:eastAsia="仿宋_GB2312" w:cs="仿宋_GB2312"/>
          <w:i w:val="0"/>
          <w:iCs w:val="0"/>
          <w:caps w:val="0"/>
          <w:color w:val="333333"/>
          <w:spacing w:val="0"/>
          <w:sz w:val="32"/>
          <w:szCs w:val="32"/>
          <w:shd w:val="clear" w:fill="FFFFFF"/>
        </w:rPr>
        <w:t>政府信息公开社会评议制度，开放监督渠道，主动接受社会监督。</w:t>
      </w:r>
      <w:r>
        <w:rPr>
          <w:rFonts w:hint="eastAsia" w:ascii="仿宋_GB2312" w:hAnsi="微软雅黑" w:eastAsia="仿宋_GB2312" w:cs="仿宋_GB2312"/>
          <w:i w:val="0"/>
          <w:iCs w:val="0"/>
          <w:caps w:val="0"/>
          <w:color w:val="333333"/>
          <w:spacing w:val="0"/>
          <w:sz w:val="32"/>
          <w:szCs w:val="32"/>
          <w:shd w:val="clear" w:fill="FFFFFF"/>
          <w:lang w:eastAsia="zh-CN"/>
        </w:rPr>
        <w:t>四</w:t>
      </w:r>
      <w:r>
        <w:rPr>
          <w:rFonts w:hint="eastAsia" w:ascii="仿宋_GB2312" w:hAnsi="微软雅黑" w:eastAsia="仿宋_GB2312" w:cs="仿宋_GB2312"/>
          <w:i w:val="0"/>
          <w:iCs w:val="0"/>
          <w:caps w:val="0"/>
          <w:color w:val="333333"/>
          <w:spacing w:val="0"/>
          <w:sz w:val="32"/>
          <w:szCs w:val="32"/>
          <w:shd w:val="clear" w:fill="FFFFFF"/>
        </w:rPr>
        <w:t>是</w:t>
      </w:r>
      <w:bookmarkStart w:id="0" w:name="_GoBack"/>
      <w:bookmarkEnd w:id="0"/>
      <w:r>
        <w:rPr>
          <w:rFonts w:hint="eastAsia" w:ascii="仿宋_GB2312" w:hAnsi="微软雅黑" w:eastAsia="仿宋_GB2312" w:cs="仿宋_GB2312"/>
          <w:i w:val="0"/>
          <w:iCs w:val="0"/>
          <w:caps w:val="0"/>
          <w:color w:val="333333"/>
          <w:spacing w:val="0"/>
          <w:sz w:val="32"/>
          <w:szCs w:val="32"/>
          <w:shd w:val="clear" w:fill="FFFFFF"/>
        </w:rPr>
        <w:t>严格落实责任追究制度。202</w:t>
      </w:r>
      <w:r>
        <w:rPr>
          <w:rFonts w:hint="eastAsia" w:ascii="仿宋_GB2312" w:hAnsi="微软雅黑" w:eastAsia="仿宋_GB2312" w:cs="仿宋_GB2312"/>
          <w:i w:val="0"/>
          <w:iCs w:val="0"/>
          <w:caps w:val="0"/>
          <w:color w:val="333333"/>
          <w:spacing w:val="0"/>
          <w:sz w:val="32"/>
          <w:szCs w:val="32"/>
          <w:shd w:val="clear" w:fill="FFFFFF"/>
          <w:lang w:val="en-US" w:eastAsia="zh-CN"/>
        </w:rPr>
        <w:t>3</w:t>
      </w:r>
      <w:r>
        <w:rPr>
          <w:rFonts w:hint="eastAsia" w:ascii="仿宋_GB2312" w:hAnsi="微软雅黑" w:eastAsia="仿宋_GB2312" w:cs="仿宋_GB2312"/>
          <w:i w:val="0"/>
          <w:iCs w:val="0"/>
          <w:caps w:val="0"/>
          <w:color w:val="333333"/>
          <w:spacing w:val="0"/>
          <w:sz w:val="32"/>
          <w:szCs w:val="32"/>
          <w:shd w:val="clear" w:fill="FFFFFF"/>
        </w:rPr>
        <w:t>年我镇未出现此类情</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黑体" w:hAnsi="黑体" w:eastAsia="黑体" w:cs="黑体"/>
          <w:i w:val="0"/>
          <w:iCs w:val="0"/>
          <w:caps w:val="0"/>
          <w:color w:val="333333"/>
          <w:spacing w:val="0"/>
          <w:kern w:val="0"/>
          <w:sz w:val="32"/>
          <w:szCs w:val="32"/>
          <w:shd w:val="clear" w:fill="FFFFFF"/>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二、主动公开政府信息情况</w:t>
      </w:r>
    </w:p>
    <w:tbl>
      <w:tblPr>
        <w:tblStyle w:val="4"/>
        <w:tblW w:w="80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66"/>
        <w:gridCol w:w="1925"/>
        <w:gridCol w:w="1982"/>
        <w:gridCol w:w="2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信息内容</w:t>
            </w:r>
          </w:p>
        </w:tc>
        <w:tc>
          <w:tcPr>
            <w:tcW w:w="192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本年制发件数</w:t>
            </w:r>
          </w:p>
        </w:tc>
        <w:tc>
          <w:tcPr>
            <w:tcW w:w="1982"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本年废止件数</w:t>
            </w:r>
          </w:p>
        </w:tc>
        <w:tc>
          <w:tcPr>
            <w:tcW w:w="220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规章</w:t>
            </w:r>
          </w:p>
        </w:tc>
        <w:tc>
          <w:tcPr>
            <w:tcW w:w="192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ascii="宋体" w:hAnsi="宋体" w:eastAsia="宋体" w:cs="宋体"/>
                <w:color w:val="auto"/>
                <w:kern w:val="0"/>
                <w:sz w:val="20"/>
                <w:szCs w:val="20"/>
                <w:lang w:val="en-US" w:eastAsia="zh-CN" w:bidi="ar"/>
              </w:rPr>
              <w:t>0</w:t>
            </w:r>
          </w:p>
        </w:tc>
        <w:tc>
          <w:tcPr>
            <w:tcW w:w="1982"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0</w:t>
            </w:r>
          </w:p>
        </w:tc>
        <w:tc>
          <w:tcPr>
            <w:tcW w:w="220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行政规范性文件</w:t>
            </w:r>
          </w:p>
        </w:tc>
        <w:tc>
          <w:tcPr>
            <w:tcW w:w="192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eastAsia" w:eastAsiaTheme="minorEastAsia"/>
                <w:color w:val="auto"/>
                <w:lang w:val="en-US" w:eastAsia="zh-CN"/>
              </w:rPr>
            </w:pPr>
            <w:r>
              <w:rPr>
                <w:rFonts w:hint="eastAsia"/>
                <w:color w:val="auto"/>
                <w:lang w:val="en-US" w:eastAsia="zh-CN"/>
              </w:rPr>
              <w:t>0</w:t>
            </w:r>
          </w:p>
        </w:tc>
        <w:tc>
          <w:tcPr>
            <w:tcW w:w="1982"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eastAsia" w:eastAsiaTheme="minorEastAsia"/>
                <w:color w:val="auto"/>
                <w:lang w:val="en-US" w:eastAsia="zh-CN"/>
              </w:rPr>
            </w:pPr>
            <w:r>
              <w:rPr>
                <w:rFonts w:hint="eastAsia"/>
                <w:color w:val="auto"/>
                <w:lang w:val="en-US" w:eastAsia="zh-CN"/>
              </w:rPr>
              <w:t>0</w:t>
            </w:r>
          </w:p>
        </w:tc>
        <w:tc>
          <w:tcPr>
            <w:tcW w:w="220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eastAsia" w:eastAsiaTheme="minorEastAsia"/>
                <w:color w:val="auto"/>
                <w:lang w:val="en-US" w:eastAsia="zh-CN"/>
              </w:rPr>
            </w:pPr>
            <w:r>
              <w:rPr>
                <w:rFonts w:hint="eastAsia"/>
                <w:color w:val="auto"/>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8078"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信息内容</w:t>
            </w:r>
          </w:p>
        </w:tc>
        <w:tc>
          <w:tcPr>
            <w:tcW w:w="6112"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行政许可</w:t>
            </w:r>
          </w:p>
        </w:tc>
        <w:tc>
          <w:tcPr>
            <w:tcW w:w="6112"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eastAsia" w:eastAsiaTheme="minorEastAsia"/>
                <w:color w:val="auto"/>
                <w:lang w:val="en-US" w:eastAsia="zh-CN"/>
              </w:rPr>
            </w:pPr>
            <w:r>
              <w:rPr>
                <w:rFonts w:hint="eastAsia"/>
                <w:color w:val="auto"/>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8078"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信息内容</w:t>
            </w:r>
          </w:p>
        </w:tc>
        <w:tc>
          <w:tcPr>
            <w:tcW w:w="6112" w:type="dxa"/>
            <w:gridSpan w:val="3"/>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行政处罚</w:t>
            </w:r>
          </w:p>
        </w:tc>
        <w:tc>
          <w:tcPr>
            <w:tcW w:w="6112"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eastAsia" w:eastAsiaTheme="minorEastAsia"/>
                <w:color w:val="auto"/>
                <w:lang w:val="en-US" w:eastAsia="zh-CN"/>
              </w:rPr>
            </w:pPr>
            <w:r>
              <w:rPr>
                <w:rFonts w:hint="eastAsia"/>
                <w:color w:val="auto"/>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行政强制</w:t>
            </w:r>
          </w:p>
        </w:tc>
        <w:tc>
          <w:tcPr>
            <w:tcW w:w="6112"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eastAsia" w:eastAsiaTheme="minorEastAsia"/>
                <w:color w:val="auto"/>
                <w:lang w:val="en-US" w:eastAsia="zh-CN"/>
              </w:rPr>
            </w:pPr>
            <w:r>
              <w:rPr>
                <w:rFonts w:hint="eastAsia"/>
                <w:color w:val="auto"/>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8078"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信息内容</w:t>
            </w:r>
          </w:p>
        </w:tc>
        <w:tc>
          <w:tcPr>
            <w:tcW w:w="6112" w:type="dxa"/>
            <w:gridSpan w:val="3"/>
            <w:tcBorders>
              <w:top w:val="nil"/>
              <w:left w:val="nil"/>
              <w:bottom w:val="single" w:color="auto" w:sz="8" w:space="0"/>
              <w:right w:val="single" w:color="000000"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行政事业性收费</w:t>
            </w:r>
          </w:p>
        </w:tc>
        <w:tc>
          <w:tcPr>
            <w:tcW w:w="6112" w:type="dxa"/>
            <w:gridSpan w:val="3"/>
            <w:tcBorders>
              <w:top w:val="nil"/>
              <w:left w:val="nil"/>
              <w:bottom w:val="single" w:color="auto" w:sz="8" w:space="0"/>
              <w:right w:val="single" w:color="000000" w:sz="8" w:space="0"/>
            </w:tcBorders>
            <w:tcMar>
              <w:left w:w="57" w:type="dxa"/>
              <w:right w:w="57" w:type="dxa"/>
            </w:tcMar>
            <w:vAlign w:val="center"/>
          </w:tcPr>
          <w:p>
            <w:pPr>
              <w:shd w:val="clear" w:color="auto" w:fill="auto"/>
              <w:jc w:val="center"/>
              <w:rPr>
                <w:rFonts w:hint="default" w:ascii="宋体" w:eastAsia="仿宋_GB2312"/>
                <w:color w:val="auto"/>
                <w:sz w:val="24"/>
                <w:szCs w:val="24"/>
                <w:lang w:val="en-US" w:eastAsia="zh-CN"/>
              </w:rPr>
            </w:pPr>
            <w:r>
              <w:rPr>
                <w:rFonts w:hint="eastAsia" w:ascii="宋体" w:eastAsia="仿宋_GB2312"/>
                <w:color w:val="auto"/>
                <w:sz w:val="24"/>
                <w:szCs w:val="24"/>
                <w:lang w:val="en-US" w:eastAsia="zh-CN"/>
              </w:rPr>
              <w:t>1.08</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16"/>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fill="FFFFFF"/>
        </w:rPr>
        <w:t>三、收到和处理政府信息公开申请情况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4"/>
        <w:gridCol w:w="940"/>
        <w:gridCol w:w="3221"/>
        <w:gridCol w:w="689"/>
        <w:gridCol w:w="689"/>
        <w:gridCol w:w="689"/>
        <w:gridCol w:w="689"/>
        <w:gridCol w:w="689"/>
        <w:gridCol w:w="689"/>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楷体" w:hAnsi="楷体" w:eastAsia="楷体" w:cs="楷体"/>
                <w:color w:val="auto"/>
                <w:kern w:val="0"/>
                <w:sz w:val="18"/>
                <w:szCs w:val="18"/>
                <w:lang w:val="en-US" w:eastAsia="zh-CN" w:bidi="ar"/>
              </w:rPr>
              <w:t>（本列数据的勾稽关系为：第一项加第二项之和，等于第三项加第四项之和）</w:t>
            </w:r>
          </w:p>
        </w:tc>
        <w:tc>
          <w:tcPr>
            <w:tcW w:w="4823" w:type="dxa"/>
            <w:gridSpan w:val="7"/>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689" w:type="dxa"/>
            <w:vMerge w:val="restart"/>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自然人</w:t>
            </w:r>
          </w:p>
        </w:tc>
        <w:tc>
          <w:tcPr>
            <w:tcW w:w="3445" w:type="dxa"/>
            <w:gridSpan w:val="5"/>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689" w:type="dxa"/>
            <w:vMerge w:val="continue"/>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24"/>
                <w:szCs w:val="24"/>
              </w:rPr>
            </w:pP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企业</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机构</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社会公益组织</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法律服务机构</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一、本年新收政府信息公开申请数量</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color w:val="auto"/>
                <w:lang w:val="en-US"/>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color w:val="auto"/>
                <w:lang w:val="en-US"/>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二、上年结转政府信息公开申请数量</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三、本年度办理结果</w:t>
            </w:r>
          </w:p>
        </w:tc>
        <w:tc>
          <w:tcPr>
            <w:tcW w:w="4161"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（一）予以公开</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single" w:color="auto" w:sz="8" w:space="0"/>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4161"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（二）部分公开</w:t>
            </w:r>
            <w:r>
              <w:rPr>
                <w:rFonts w:hint="eastAsia" w:ascii="楷体" w:hAnsi="楷体" w:eastAsia="楷体" w:cs="楷体"/>
                <w:color w:val="auto"/>
                <w:kern w:val="0"/>
                <w:sz w:val="18"/>
                <w:szCs w:val="18"/>
                <w:lang w:val="en-US" w:eastAsia="zh-CN" w:bidi="ar"/>
              </w:rPr>
              <w:t>（区分处理的，只计这一情形，不计其他情形）</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（三）不予公开</w:t>
            </w: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1.属于国家秘密</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single" w:color="auto" w:sz="8" w:space="0"/>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2.其他法律行政法规禁止公开</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3.危及“三安全一稳定”</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4.保护第三方合法权益</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5.属于三类内部事务信息</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6.属于四类过程性信息</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7.属于行政执法案卷</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8.属于行政查询事项</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（四）无法提供</w:t>
            </w: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1.本机关不掌握相关政府信息</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2.没有现成信息需要另行制作</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3.补正后申请内容仍不明确</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（五）不予处理</w:t>
            </w: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1.信访举报投诉类申请</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2.重复申请</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5" w:hRule="atLeast"/>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3.要求提供公开出版物</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4.无正当理由大量反复申请</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both"/>
              <w:textAlignment w:val="auto"/>
              <w:rPr>
                <w:color w:val="auto"/>
                <w:sz w:val="18"/>
                <w:szCs w:val="18"/>
              </w:rPr>
            </w:pPr>
            <w:r>
              <w:rPr>
                <w:rFonts w:hint="eastAsia" w:ascii="宋体" w:hAnsi="宋体" w:eastAsia="宋体" w:cs="宋体"/>
                <w:color w:val="auto"/>
                <w:kern w:val="0"/>
                <w:sz w:val="18"/>
                <w:szCs w:val="18"/>
                <w:lang w:val="en-US" w:eastAsia="zh-CN" w:bidi="ar"/>
              </w:rPr>
              <w:t>5.要求行政机关确认或重新出具已获取信息</w:t>
            </w:r>
          </w:p>
        </w:tc>
        <w:tc>
          <w:tcPr>
            <w:tcW w:w="689"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（六）其他处理</w:t>
            </w:r>
          </w:p>
        </w:tc>
        <w:tc>
          <w:tcPr>
            <w:tcW w:w="3221"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both"/>
              <w:textAlignment w:val="auto"/>
              <w:rPr>
                <w:color w:val="auto"/>
                <w:sz w:val="18"/>
                <w:szCs w:val="18"/>
              </w:rPr>
            </w:pPr>
            <w:r>
              <w:rPr>
                <w:rFonts w:hint="eastAsia" w:ascii="宋体" w:hAnsi="宋体" w:eastAsia="宋体" w:cs="宋体"/>
                <w:color w:val="auto"/>
                <w:kern w:val="0"/>
                <w:sz w:val="18"/>
                <w:szCs w:val="18"/>
                <w:lang w:val="en-US" w:eastAsia="zh-CN" w:bidi="ar"/>
              </w:rPr>
              <w:t>1.申请人无正当理由逾期不补正、行政机关不再处理其政府信息公开申请</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both"/>
              <w:textAlignment w:val="auto"/>
              <w:rPr>
                <w:color w:val="auto"/>
                <w:sz w:val="18"/>
                <w:szCs w:val="18"/>
              </w:rPr>
            </w:pPr>
            <w:r>
              <w:rPr>
                <w:rFonts w:hint="eastAsia" w:ascii="宋体" w:hAnsi="宋体" w:eastAsia="宋体" w:cs="宋体"/>
                <w:color w:val="auto"/>
                <w:kern w:val="0"/>
                <w:sz w:val="18"/>
                <w:szCs w:val="18"/>
                <w:lang w:val="en-US" w:eastAsia="zh-CN" w:bidi="ar"/>
              </w:rPr>
              <w:t>2.申请人逾期未按收费通知要求缴纳费用、行政机关不再处理其政府信息公开申请</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3.其他</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4161"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（七）总计</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9" w:hRule="atLeast"/>
          <w:jc w:val="center"/>
        </w:trPr>
        <w:tc>
          <w:tcPr>
            <w:tcW w:w="4925"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四、结转下年度继续办理</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default" w:ascii="Calibri" w:hAnsi="Calibri" w:eastAsia="宋体" w:cs="Calibri"/>
                <w:color w:val="auto"/>
                <w:kern w:val="0"/>
                <w:sz w:val="20"/>
                <w:szCs w:val="20"/>
                <w:lang w:val="en-US" w:eastAsia="zh-CN" w:bidi="ar"/>
              </w:rPr>
              <w:t> </w:t>
            </w: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color w:val="auto"/>
                <w:sz w:val="24"/>
                <w:szCs w:val="24"/>
              </w:rPr>
            </w:pPr>
            <w:r>
              <w:rPr>
                <w:rFonts w:hint="eastAsia" w:ascii="Calibri" w:hAnsi="Calibri" w:eastAsia="宋体" w:cs="Calibri"/>
                <w:color w:val="auto"/>
                <w:kern w:val="0"/>
                <w:sz w:val="20"/>
                <w:szCs w:val="20"/>
                <w:lang w:val="en-US" w:eastAsia="zh-CN" w:bidi="ar"/>
              </w:rPr>
              <w:t>0</w:t>
            </w:r>
            <w:r>
              <w:rPr>
                <w:rFonts w:hint="default" w:ascii="Calibri" w:hAnsi="Calibri" w:eastAsia="宋体" w:cs="Calibri"/>
                <w:color w:val="auto"/>
                <w:kern w:val="0"/>
                <w:sz w:val="20"/>
                <w:szCs w:val="20"/>
                <w:lang w:val="en-US" w:eastAsia="zh-CN" w:bidi="ar"/>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fill="FFFFFF"/>
        </w:rPr>
        <w:t>四、政府信息公开行政复议、行政诉讼情况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80" w:lineRule="exact"/>
              <w:textAlignment w:val="auto"/>
              <w:rPr>
                <w:rFonts w:hint="eastAsia" w:ascii="宋体"/>
                <w:color w:val="auto"/>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80" w:lineRule="exact"/>
              <w:textAlignment w:val="auto"/>
              <w:rPr>
                <w:rFonts w:hint="eastAsia" w:ascii="宋体"/>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80" w:lineRule="exact"/>
              <w:textAlignment w:val="auto"/>
              <w:rPr>
                <w:rFonts w:hint="eastAsia" w:ascii="宋体"/>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80" w:lineRule="exact"/>
              <w:textAlignment w:val="auto"/>
              <w:rPr>
                <w:rFonts w:hint="eastAsia" w:ascii="宋体"/>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80" w:lineRule="exact"/>
              <w:textAlignment w:val="auto"/>
              <w:rPr>
                <w:rFonts w:hint="eastAsia" w:ascii="宋体"/>
                <w:color w:val="auto"/>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rFonts w:hint="default"/>
                <w:color w:val="auto"/>
                <w:lang w:val="en-US"/>
              </w:rPr>
            </w:pPr>
            <w:r>
              <w:rPr>
                <w:rFonts w:hint="eastAsia" w:ascii="黑体" w:hAnsi="宋体" w:eastAsia="黑体" w:cs="黑体"/>
                <w:color w:val="auto"/>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rFonts w:hint="default"/>
                <w:color w:val="auto"/>
                <w:lang w:val="en-US"/>
              </w:rPr>
            </w:pPr>
            <w:r>
              <w:rPr>
                <w:rFonts w:hint="eastAsia" w:ascii="黑体" w:hAnsi="宋体" w:eastAsia="黑体" w:cs="黑体"/>
                <w:color w:val="auto"/>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rFonts w:hint="default"/>
                <w:color w:val="auto"/>
                <w:lang w:val="en-US"/>
              </w:rPr>
            </w:pPr>
            <w:r>
              <w:rPr>
                <w:rFonts w:hint="eastAsia" w:ascii="黑体" w:hAnsi="宋体" w:eastAsia="黑体" w:cs="黑体"/>
                <w:color w:val="auto"/>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rFonts w:hint="default"/>
                <w:color w:val="auto"/>
                <w:lang w:val="en-US"/>
              </w:rPr>
            </w:pPr>
            <w:r>
              <w:rPr>
                <w:rFonts w:hint="eastAsia" w:ascii="黑体" w:hAnsi="宋体" w:eastAsia="黑体" w:cs="黑体"/>
                <w:color w:val="auto"/>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rFonts w:hint="default"/>
                <w:color w:val="auto"/>
                <w:lang w:val="en-US"/>
              </w:rPr>
            </w:pPr>
            <w:r>
              <w:rPr>
                <w:rFonts w:hint="eastAsia" w:ascii="黑体" w:hAnsi="宋体" w:eastAsia="黑体" w:cs="黑体"/>
                <w:color w:val="auto"/>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rFonts w:hint="default"/>
                <w:color w:val="auto"/>
                <w:lang w:val="en-US"/>
              </w:rPr>
            </w:pPr>
            <w:r>
              <w:rPr>
                <w:rFonts w:hint="eastAsia" w:ascii="黑体" w:hAnsi="宋体" w:eastAsia="黑体" w:cs="黑体"/>
                <w:color w:val="auto"/>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rFonts w:hint="default"/>
                <w:color w:val="auto"/>
                <w:lang w:val="en-US"/>
              </w:rPr>
            </w:pPr>
            <w:r>
              <w:rPr>
                <w:rFonts w:hint="eastAsia" w:ascii="黑体" w:hAnsi="宋体" w:eastAsia="黑体" w:cs="黑体"/>
                <w:color w:val="auto"/>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rFonts w:hint="default"/>
                <w:color w:val="auto"/>
                <w:lang w:val="en-US"/>
              </w:rPr>
            </w:pPr>
            <w:r>
              <w:rPr>
                <w:rFonts w:hint="eastAsia" w:ascii="黑体" w:hAnsi="宋体" w:eastAsia="黑体" w:cs="黑体"/>
                <w:color w:val="auto"/>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leftChars="0" w:right="0" w:rightChars="0" w:firstLine="0" w:firstLineChars="0"/>
              <w:jc w:val="center"/>
              <w:rPr>
                <w:rFonts w:hint="eastAsia" w:ascii="宋体" w:eastAsiaTheme="minorEastAsia"/>
                <w:color w:val="auto"/>
                <w:sz w:val="24"/>
                <w:szCs w:val="24"/>
                <w:lang w:val="en-US" w:eastAsia="zh-CN"/>
              </w:rPr>
            </w:pPr>
            <w:r>
              <w:rPr>
                <w:rFonts w:hint="eastAsia" w:ascii="黑体" w:hAnsi="宋体" w:eastAsia="黑体" w:cs="黑体"/>
                <w:color w:val="auto"/>
                <w:kern w:val="0"/>
                <w:sz w:val="20"/>
                <w:szCs w:val="20"/>
                <w:lang w:val="en-US" w:eastAsia="zh-CN" w:bidi="ar"/>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fill="FFFFFF"/>
        </w:rPr>
        <w:t>五、存在的主要问题及改进情况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楷体" w:hAnsi="楷体" w:eastAsia="楷体" w:cs="楷体"/>
          <w:i w:val="0"/>
          <w:iCs w:val="0"/>
          <w:caps w:val="0"/>
          <w:color w:val="333333"/>
          <w:spacing w:val="0"/>
          <w:sz w:val="32"/>
          <w:szCs w:val="32"/>
        </w:rPr>
      </w:pPr>
      <w:r>
        <w:rPr>
          <w:rFonts w:hint="eastAsia" w:ascii="楷体" w:hAnsi="楷体" w:eastAsia="楷体" w:cs="楷体"/>
          <w:i w:val="0"/>
          <w:iCs w:val="0"/>
          <w:caps w:val="0"/>
          <w:color w:val="333333"/>
          <w:spacing w:val="0"/>
          <w:kern w:val="0"/>
          <w:sz w:val="32"/>
          <w:szCs w:val="32"/>
          <w:shd w:val="clear" w:fill="FFFFFF"/>
          <w:lang w:val="en-US" w:eastAsia="zh-CN" w:bidi="ar"/>
        </w:rPr>
        <w:t>（一）存在问题：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 一是信息公开内容不够丰富。涉及政策、法规等政策性文件和解决人民群众关心的利益问题的文件公开较少。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 二是对政策解读的能力有待提高。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楷体" w:hAnsi="楷体" w:eastAsia="楷体" w:cs="楷体"/>
          <w:i w:val="0"/>
          <w:iCs w:val="0"/>
          <w:caps w:val="0"/>
          <w:color w:val="333333"/>
          <w:spacing w:val="0"/>
          <w:sz w:val="32"/>
          <w:szCs w:val="32"/>
        </w:rPr>
      </w:pPr>
      <w:r>
        <w:rPr>
          <w:rFonts w:hint="eastAsia" w:ascii="楷体" w:hAnsi="楷体" w:eastAsia="楷体" w:cs="楷体"/>
          <w:i w:val="0"/>
          <w:iCs w:val="0"/>
          <w:caps w:val="0"/>
          <w:color w:val="333333"/>
          <w:spacing w:val="0"/>
          <w:kern w:val="0"/>
          <w:sz w:val="32"/>
          <w:szCs w:val="32"/>
          <w:shd w:val="clear" w:fill="FFFFFF"/>
          <w:lang w:val="en-US" w:eastAsia="zh-CN" w:bidi="ar"/>
        </w:rPr>
        <w:t>(二）改进情况：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一是</w:t>
      </w:r>
      <w:r>
        <w:rPr>
          <w:rFonts w:hint="eastAsia" w:ascii="仿宋_GB2312" w:hAnsi="仿宋_GB2312" w:eastAsia="仿宋_GB2312" w:cs="仿宋_GB2312"/>
          <w:i w:val="0"/>
          <w:iCs w:val="0"/>
          <w:caps w:val="0"/>
          <w:color w:val="333333"/>
          <w:spacing w:val="0"/>
          <w:sz w:val="32"/>
          <w:szCs w:val="32"/>
          <w:shd w:val="clear" w:fill="FFFFFF"/>
        </w:rPr>
        <w:t>定期梳理，及时发布。</w:t>
      </w:r>
      <w:r>
        <w:rPr>
          <w:rFonts w:hint="eastAsia" w:ascii="仿宋_GB2312" w:hAnsi="仿宋_GB2312" w:eastAsia="仿宋_GB2312" w:cs="仿宋_GB2312"/>
          <w:i w:val="0"/>
          <w:iCs w:val="0"/>
          <w:caps w:val="0"/>
          <w:color w:val="333333"/>
          <w:spacing w:val="0"/>
          <w:sz w:val="32"/>
          <w:szCs w:val="32"/>
          <w:shd w:val="clear" w:fill="FFFFFF"/>
          <w:lang w:eastAsia="zh-CN"/>
        </w:rPr>
        <w:t>二是加强学习，</w:t>
      </w:r>
      <w:r>
        <w:rPr>
          <w:rFonts w:hint="eastAsia" w:ascii="仿宋_GB2312" w:hAnsi="仿宋_GB2312" w:eastAsia="仿宋_GB2312" w:cs="仿宋_GB2312"/>
          <w:i w:val="0"/>
          <w:iCs w:val="0"/>
          <w:caps w:val="0"/>
          <w:color w:val="333333"/>
          <w:spacing w:val="0"/>
          <w:sz w:val="32"/>
          <w:szCs w:val="32"/>
          <w:shd w:val="clear" w:fill="FFFFFF"/>
        </w:rPr>
        <w:t>提高政策解读质量。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fill="FFFFFF"/>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2"/>
          <w:szCs w:val="32"/>
          <w:shd w:val="clear" w:fill="FFFFFF"/>
        </w:rPr>
        <w:t>按照《国务院办公厅关于印发〈政府信息公开信息处理费管理办法〉的通知》(国办函〔2020〕109号)规定的按件、按量收费标准，永康镇本年度没有产生信息公开处理费。本年度也无其他需要报告事项。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xNGM4OWIyMWY5MWU3YjNmODI2ODQzZjdjMDY4NmEifQ=="/>
  </w:docVars>
  <w:rsids>
    <w:rsidRoot w:val="76A1739A"/>
    <w:rsid w:val="09A350AF"/>
    <w:rsid w:val="0D840634"/>
    <w:rsid w:val="2F9C40E4"/>
    <w:rsid w:val="391F7A14"/>
    <w:rsid w:val="4F0A17FE"/>
    <w:rsid w:val="607E66EB"/>
    <w:rsid w:val="65B42321"/>
    <w:rsid w:val="6A1B68A2"/>
    <w:rsid w:val="6D5E0067"/>
    <w:rsid w:val="72F87CAE"/>
    <w:rsid w:val="76A1739A"/>
    <w:rsid w:val="78940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2024-01-19T07:33:00Z</dcterms:created>
  <dc:creator>天天开心</dc:creator>
  <cp:lastModifiedBy>天天开心</cp:lastModifiedBy>
  <dcterms:modified xsi:type="dcterms:W3CDTF">2024-04-02T00:54:30Z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5C92A2FB1AD3437CA7F7AB09E31C3861_13</vt:lpwstr>
  </property>
</Properties>
</file>